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04832" w:rsidRPr="00AF0C00" w:rsidRDefault="00000000">
      <w:pPr>
        <w:jc w:val="right"/>
        <w:rPr>
          <w:rFonts w:ascii="Times New Roman" w:eastAsia="Times New Roman" w:hAnsi="Times New Roman" w:cs="Times New Roman"/>
          <w:lang w:val="pl-PL"/>
        </w:rPr>
      </w:pPr>
      <w:r w:rsidRPr="00AF0C00">
        <w:rPr>
          <w:rFonts w:ascii="Times New Roman" w:eastAsia="Times New Roman" w:hAnsi="Times New Roman" w:cs="Times New Roman"/>
          <w:lang w:val="pl-PL"/>
        </w:rPr>
        <w:t>Projekt z 25 marca 2024 r.</w:t>
      </w:r>
    </w:p>
    <w:p w14:paraId="00000002" w14:textId="77777777" w:rsidR="00104832" w:rsidRPr="00AF0C00" w:rsidRDefault="00000000">
      <w:pPr>
        <w:jc w:val="center"/>
        <w:rPr>
          <w:rFonts w:ascii="Times New Roman" w:eastAsia="Times New Roman" w:hAnsi="Times New Roman" w:cs="Times New Roman"/>
          <w:b/>
          <w:lang w:val="pl-PL"/>
        </w:rPr>
      </w:pPr>
      <w:r w:rsidRPr="00AF0C00">
        <w:rPr>
          <w:rFonts w:ascii="Times New Roman" w:eastAsia="Times New Roman" w:hAnsi="Times New Roman" w:cs="Times New Roman"/>
          <w:b/>
          <w:lang w:val="pl-PL"/>
        </w:rPr>
        <w:t>USTAWA</w:t>
      </w:r>
    </w:p>
    <w:p w14:paraId="00000003" w14:textId="77777777" w:rsidR="00104832" w:rsidRPr="00AF0C00" w:rsidRDefault="00000000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AF0C00">
        <w:rPr>
          <w:rFonts w:ascii="Times New Roman" w:eastAsia="Times New Roman" w:hAnsi="Times New Roman" w:cs="Times New Roman"/>
          <w:lang w:val="pl-PL"/>
        </w:rPr>
        <w:t>z dnia ……… 2024 r.</w:t>
      </w:r>
    </w:p>
    <w:p w14:paraId="00000004" w14:textId="77777777" w:rsidR="00104832" w:rsidRPr="00AF0C00" w:rsidRDefault="00000000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AF0C00">
        <w:rPr>
          <w:rFonts w:ascii="Times New Roman" w:eastAsia="Times New Roman" w:hAnsi="Times New Roman" w:cs="Times New Roman"/>
          <w:lang w:val="pl-PL"/>
        </w:rPr>
        <w:t xml:space="preserve">o zmianie ustawy o podatku od czynności cywilnoprawnych </w:t>
      </w:r>
    </w:p>
    <w:p w14:paraId="00000005" w14:textId="77777777" w:rsidR="00104832" w:rsidRPr="00AF0C00" w:rsidRDefault="00104832">
      <w:pPr>
        <w:jc w:val="center"/>
        <w:rPr>
          <w:rFonts w:ascii="Times New Roman" w:eastAsia="Times New Roman" w:hAnsi="Times New Roman" w:cs="Times New Roman"/>
          <w:lang w:val="pl-PL"/>
        </w:rPr>
      </w:pPr>
    </w:p>
    <w:p w14:paraId="00000006" w14:textId="77777777" w:rsidR="00104832" w:rsidRPr="00AF0C00" w:rsidRDefault="00000000">
      <w:pPr>
        <w:jc w:val="both"/>
        <w:rPr>
          <w:rFonts w:ascii="Times New Roman" w:eastAsia="Times New Roman" w:hAnsi="Times New Roman" w:cs="Times New Roman"/>
          <w:lang w:val="pl-PL"/>
        </w:rPr>
      </w:pPr>
      <w:r w:rsidRPr="00AF0C00">
        <w:rPr>
          <w:rFonts w:ascii="Times New Roman" w:eastAsia="Times New Roman" w:hAnsi="Times New Roman" w:cs="Times New Roman"/>
          <w:b/>
          <w:lang w:val="pl-PL"/>
        </w:rPr>
        <w:t xml:space="preserve">Art. 1. </w:t>
      </w:r>
      <w:r w:rsidRPr="00AF0C00">
        <w:rPr>
          <w:rFonts w:ascii="Times New Roman" w:eastAsia="Times New Roman" w:hAnsi="Times New Roman" w:cs="Times New Roman"/>
          <w:lang w:val="pl-PL"/>
        </w:rPr>
        <w:t>W ustawie z dnia 6 września 2000 r. o podatku od czynności cywilnoprawnych (Dz. U. z 2024 r. poz. 295) wprowadza się następujące zmiany:</w:t>
      </w:r>
    </w:p>
    <w:p w14:paraId="00000007" w14:textId="77777777" w:rsidR="00104832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art. 7:</w:t>
      </w:r>
    </w:p>
    <w:p w14:paraId="00000008" w14:textId="77777777" w:rsidR="00104832" w:rsidRDefault="00000000">
      <w:pPr>
        <w:numPr>
          <w:ilvl w:val="1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w ust. 1 w pkt 1:</w:t>
      </w:r>
    </w:p>
    <w:p w14:paraId="00000009" w14:textId="77777777" w:rsidR="00104832" w:rsidRDefault="00000000">
      <w:pPr>
        <w:numPr>
          <w:ilvl w:val="2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lit. a otrzymuje brzmienie:</w:t>
      </w:r>
    </w:p>
    <w:p w14:paraId="0000000A" w14:textId="77777777" w:rsidR="00104832" w:rsidRPr="00AF0C00" w:rsidRDefault="00000000">
      <w:pPr>
        <w:ind w:left="2160"/>
        <w:jc w:val="both"/>
        <w:rPr>
          <w:rFonts w:ascii="Times New Roman" w:eastAsia="Times New Roman" w:hAnsi="Times New Roman" w:cs="Times New Roman"/>
          <w:lang w:val="pl-PL"/>
        </w:rPr>
      </w:pPr>
      <w:r w:rsidRPr="00AF0C00">
        <w:rPr>
          <w:rFonts w:ascii="Times New Roman" w:eastAsia="Times New Roman" w:hAnsi="Times New Roman" w:cs="Times New Roman"/>
          <w:lang w:val="pl-PL"/>
        </w:rPr>
        <w:t xml:space="preserve">„a) </w:t>
      </w:r>
      <w:r w:rsidRPr="00AF0C00">
        <w:rPr>
          <w:rFonts w:ascii="Times New Roman" w:eastAsia="Times New Roman" w:hAnsi="Times New Roman" w:cs="Times New Roman"/>
          <w:color w:val="333333"/>
          <w:highlight w:val="white"/>
          <w:lang w:val="pl-PL"/>
        </w:rPr>
        <w:t>nieruchomości, rzeczy ruchomych, prawa użytkowania wieczystego, własnościowego spółdzielczego prawa do lokalu mieszkalnego, spółdzielczego prawa do lokalu użytkowego oraz wynikających z przepisów prawa spółdzielczego: prawa do domu jednorodzinnego oraz prawa do lokalu w małym domu mieszkalnym - 2%, z zastrzeżeniem lit. c,”,</w:t>
      </w:r>
    </w:p>
    <w:p w14:paraId="0000000B" w14:textId="77777777" w:rsidR="00104832" w:rsidRPr="00AF0C00" w:rsidRDefault="00000000">
      <w:pPr>
        <w:numPr>
          <w:ilvl w:val="2"/>
          <w:numId w:val="2"/>
        </w:numPr>
        <w:jc w:val="both"/>
        <w:rPr>
          <w:rFonts w:ascii="Times New Roman" w:eastAsia="Times New Roman" w:hAnsi="Times New Roman" w:cs="Times New Roman"/>
          <w:lang w:val="pl-PL"/>
        </w:rPr>
      </w:pPr>
      <w:r w:rsidRPr="00AF0C00">
        <w:rPr>
          <w:rFonts w:ascii="Times New Roman" w:eastAsia="Times New Roman" w:hAnsi="Times New Roman" w:cs="Times New Roman"/>
          <w:lang w:val="pl-PL"/>
        </w:rPr>
        <w:t>w lit. b średnik zastępuje się przecinkiem i dodaje się lit. c w brzmieniu:</w:t>
      </w:r>
    </w:p>
    <w:p w14:paraId="0000000C" w14:textId="77777777" w:rsidR="00104832" w:rsidRPr="00AF0C00" w:rsidRDefault="00000000">
      <w:pPr>
        <w:ind w:left="2160"/>
        <w:jc w:val="both"/>
        <w:rPr>
          <w:rFonts w:ascii="Times New Roman" w:eastAsia="Times New Roman" w:hAnsi="Times New Roman" w:cs="Times New Roman"/>
          <w:lang w:val="pl-PL"/>
        </w:rPr>
      </w:pPr>
      <w:r w:rsidRPr="00AF0C00">
        <w:rPr>
          <w:rFonts w:ascii="Times New Roman" w:eastAsia="Times New Roman" w:hAnsi="Times New Roman" w:cs="Times New Roman"/>
          <w:lang w:val="pl-PL"/>
        </w:rPr>
        <w:t>„c) nieruchomości stanowiącej samodzielny lokal mieszkalny, spółdzielczego własnościowego prawa do lokalu mieszkalnego lub udziału w takich prawach, jeżeli umowa sprzedaży ww. nieruchomości lub praw zostaje zawarta w okresie:</w:t>
      </w:r>
    </w:p>
    <w:p w14:paraId="0000000D" w14:textId="77777777" w:rsidR="00104832" w:rsidRPr="00AF0C00" w:rsidRDefault="00000000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val="pl-PL"/>
        </w:rPr>
      </w:pPr>
      <w:r w:rsidRPr="00AF0C00">
        <w:rPr>
          <w:rFonts w:ascii="Times New Roman" w:eastAsia="Times New Roman" w:hAnsi="Times New Roman" w:cs="Times New Roman"/>
          <w:lang w:val="pl-PL"/>
        </w:rPr>
        <w:t>przed upływem roku od poprzedniego zbycia - 10%,</w:t>
      </w:r>
    </w:p>
    <w:p w14:paraId="0000000E" w14:textId="77777777" w:rsidR="00104832" w:rsidRPr="00AF0C00" w:rsidRDefault="00000000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val="pl-PL"/>
        </w:rPr>
      </w:pPr>
      <w:r w:rsidRPr="00AF0C00">
        <w:rPr>
          <w:rFonts w:ascii="Times New Roman" w:eastAsia="Times New Roman" w:hAnsi="Times New Roman" w:cs="Times New Roman"/>
          <w:lang w:val="pl-PL"/>
        </w:rPr>
        <w:t>od roku, jednak przed upływem dwóch lat od poprzedniego zbycia - 6%,</w:t>
      </w:r>
    </w:p>
    <w:p w14:paraId="0000000F" w14:textId="77777777" w:rsidR="00104832" w:rsidRPr="00AF0C00" w:rsidRDefault="00000000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val="pl-PL"/>
        </w:rPr>
      </w:pPr>
      <w:r w:rsidRPr="00AF0C00">
        <w:rPr>
          <w:rFonts w:ascii="Times New Roman" w:eastAsia="Times New Roman" w:hAnsi="Times New Roman" w:cs="Times New Roman"/>
          <w:lang w:val="pl-PL"/>
        </w:rPr>
        <w:t>od dwóch lat, jednak przed upływem trzech lat od poprzedniego zbycia - 4%;”,</w:t>
      </w:r>
    </w:p>
    <w:p w14:paraId="00000010" w14:textId="77777777" w:rsidR="00104832" w:rsidRPr="00AF0C00" w:rsidRDefault="00000000">
      <w:pPr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lang w:val="pl-PL"/>
        </w:rPr>
      </w:pPr>
      <w:r w:rsidRPr="00AF0C00">
        <w:rPr>
          <w:rFonts w:ascii="Times New Roman" w:eastAsia="Times New Roman" w:hAnsi="Times New Roman" w:cs="Times New Roman"/>
          <w:lang w:val="pl-PL"/>
        </w:rPr>
        <w:t>dodaje się ust. 6 w brzmieniu:</w:t>
      </w:r>
    </w:p>
    <w:p w14:paraId="00000011" w14:textId="77777777" w:rsidR="00104832" w:rsidRPr="00AF0C00" w:rsidRDefault="00000000">
      <w:pPr>
        <w:ind w:left="1440"/>
        <w:jc w:val="both"/>
        <w:rPr>
          <w:rFonts w:ascii="Times New Roman" w:eastAsia="Times New Roman" w:hAnsi="Times New Roman" w:cs="Times New Roman"/>
          <w:lang w:val="pl-PL"/>
        </w:rPr>
      </w:pPr>
      <w:r w:rsidRPr="00AF0C00">
        <w:rPr>
          <w:rFonts w:ascii="Times New Roman" w:eastAsia="Times New Roman" w:hAnsi="Times New Roman" w:cs="Times New Roman"/>
          <w:lang w:val="pl-PL"/>
        </w:rPr>
        <w:t>„6. Przed zawarciem umowy sprzedaży, do której mają zastosowanie stawki wskazane w ust. 1 pkt 1 lit. c, notariusz ma obowiązek pouczenia kupującego o zastosowaniu wyższej stawki podatku od czynności cywilnoprawnej, z uwagi na zawieranie umowy w krótkim okresie od poprzedniego zbycia, a także odebrania od kupującego oświadczenia, że jest on świadomy tego faktu i chce zawrzeć umowę mimo objęcia jej wyższą stawką podatku.”;</w:t>
      </w:r>
    </w:p>
    <w:p w14:paraId="00000012" w14:textId="77777777" w:rsidR="00104832" w:rsidRPr="00AF0C00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pl-PL"/>
        </w:rPr>
      </w:pPr>
      <w:r w:rsidRPr="00AF0C00">
        <w:rPr>
          <w:rFonts w:ascii="Times New Roman" w:eastAsia="Times New Roman" w:hAnsi="Times New Roman" w:cs="Times New Roman"/>
          <w:lang w:val="pl-PL"/>
        </w:rPr>
        <w:t>po art. 7a dodaje się art. 7b w brzmieniu:</w:t>
      </w:r>
    </w:p>
    <w:p w14:paraId="00000013" w14:textId="77777777" w:rsidR="00104832" w:rsidRPr="00AF0C00" w:rsidRDefault="00000000">
      <w:pPr>
        <w:ind w:left="720"/>
        <w:jc w:val="both"/>
        <w:rPr>
          <w:rFonts w:ascii="Times New Roman" w:eastAsia="Times New Roman" w:hAnsi="Times New Roman" w:cs="Times New Roman"/>
          <w:lang w:val="pl-PL"/>
        </w:rPr>
      </w:pPr>
      <w:r w:rsidRPr="00AF0C00">
        <w:rPr>
          <w:rFonts w:ascii="Times New Roman" w:eastAsia="Times New Roman" w:hAnsi="Times New Roman" w:cs="Times New Roman"/>
          <w:lang w:val="pl-PL"/>
        </w:rPr>
        <w:t>„Art. 7b. 1. W przypadku gdy kupujący w okresie pięciu lat liczonych od końca roku, w którym zawarł jako kupujący pierwszą umowę sprzedaży własności lokalu mieszkalnego stanowiącego odrębną nieruchomość, umowę sprzedaży spółdzielczego własnościowego prawa do lokalu lub umowę sprzedaży udziału w takich prawach, zawrze jako kupujący trzecią lub kolejną umowę sprzedaży własności lokalu mieszkalnego stanowiącego odrębną nieruchomość, umowę sprzedaży spółdzielczego własnościowego prawa do lokalu lub umowę sprzedaży udziału w takich prawach, zobowiązany jest do zapłaty podatku według stawki:</w:t>
      </w:r>
    </w:p>
    <w:p w14:paraId="00000014" w14:textId="77777777" w:rsidR="00104832" w:rsidRPr="00AF0C00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val="pl-PL"/>
        </w:rPr>
      </w:pPr>
      <w:r w:rsidRPr="00AF0C00">
        <w:rPr>
          <w:rFonts w:ascii="Times New Roman" w:eastAsia="Times New Roman" w:hAnsi="Times New Roman" w:cs="Times New Roman"/>
          <w:lang w:val="pl-PL"/>
        </w:rPr>
        <w:t>3% w przypadku trzeciej umowy sprzedaży,</w:t>
      </w:r>
    </w:p>
    <w:p w14:paraId="00000015" w14:textId="77777777" w:rsidR="00104832" w:rsidRPr="00AF0C00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val="pl-PL"/>
        </w:rPr>
      </w:pPr>
      <w:r w:rsidRPr="00AF0C00">
        <w:rPr>
          <w:rFonts w:ascii="Times New Roman" w:eastAsia="Times New Roman" w:hAnsi="Times New Roman" w:cs="Times New Roman"/>
          <w:lang w:val="pl-PL"/>
        </w:rPr>
        <w:t>4% w przypadku czwartej umowy sprzedaży,</w:t>
      </w:r>
    </w:p>
    <w:p w14:paraId="00000016" w14:textId="77777777" w:rsidR="00104832" w:rsidRPr="00AF0C00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val="pl-PL"/>
        </w:rPr>
      </w:pPr>
      <w:r w:rsidRPr="00AF0C00">
        <w:rPr>
          <w:rFonts w:ascii="Times New Roman" w:eastAsia="Times New Roman" w:hAnsi="Times New Roman" w:cs="Times New Roman"/>
          <w:lang w:val="pl-PL"/>
        </w:rPr>
        <w:t>5% w przypadku piątej i każdej kolejnej umowy sprzedaży.</w:t>
      </w:r>
    </w:p>
    <w:p w14:paraId="00000017" w14:textId="77777777" w:rsidR="00104832" w:rsidRPr="00AF0C00" w:rsidRDefault="00000000">
      <w:pPr>
        <w:ind w:left="720"/>
        <w:jc w:val="both"/>
        <w:rPr>
          <w:rFonts w:ascii="Times New Roman" w:eastAsia="Times New Roman" w:hAnsi="Times New Roman" w:cs="Times New Roman"/>
          <w:lang w:val="pl-PL"/>
        </w:rPr>
      </w:pPr>
      <w:r w:rsidRPr="00AF0C00">
        <w:rPr>
          <w:rFonts w:ascii="Times New Roman" w:eastAsia="Times New Roman" w:hAnsi="Times New Roman" w:cs="Times New Roman"/>
          <w:lang w:val="pl-PL"/>
        </w:rPr>
        <w:t>2. W umowie sprzedaży praw, o których mowa w ust. 1, kupujący składa przed notariuszem oświadczenie, pod rygorem odpowiedzialności karnej za składanie fałszywych oświadczeń, o liczbie zawartych umów, o których mowa w ust. 1, w okresie pięciu lat liczonych przed daną umową.</w:t>
      </w:r>
    </w:p>
    <w:p w14:paraId="00000018" w14:textId="77777777" w:rsidR="00104832" w:rsidRPr="00AF0C00" w:rsidRDefault="00000000">
      <w:pPr>
        <w:ind w:left="720"/>
        <w:jc w:val="both"/>
        <w:rPr>
          <w:rFonts w:ascii="Times New Roman" w:eastAsia="Times New Roman" w:hAnsi="Times New Roman" w:cs="Times New Roman"/>
          <w:lang w:val="pl-PL"/>
        </w:rPr>
      </w:pPr>
      <w:r w:rsidRPr="00AF0C00">
        <w:rPr>
          <w:rFonts w:ascii="Times New Roman" w:eastAsia="Times New Roman" w:hAnsi="Times New Roman" w:cs="Times New Roman"/>
          <w:lang w:val="pl-PL"/>
        </w:rPr>
        <w:lastRenderedPageBreak/>
        <w:t>3. Składający oświadczenie, o którym mowa w ust. 2, jest obowiązany do zawarcia w nim klauzuli o następującej treści: „Jestem świadomy odpowiedzialności karnej za złożenie fałszywego oświadczenia.”.</w:t>
      </w:r>
    </w:p>
    <w:p w14:paraId="00000019" w14:textId="77777777" w:rsidR="00104832" w:rsidRPr="00AF0C00" w:rsidRDefault="00000000">
      <w:pPr>
        <w:jc w:val="both"/>
        <w:rPr>
          <w:rFonts w:ascii="Times New Roman" w:eastAsia="Times New Roman" w:hAnsi="Times New Roman" w:cs="Times New Roman"/>
          <w:lang w:val="pl-PL"/>
        </w:rPr>
      </w:pPr>
      <w:r w:rsidRPr="00AF0C00">
        <w:rPr>
          <w:rFonts w:ascii="Times New Roman" w:eastAsia="Times New Roman" w:hAnsi="Times New Roman" w:cs="Times New Roman"/>
          <w:b/>
          <w:lang w:val="pl-PL"/>
        </w:rPr>
        <w:t xml:space="preserve">Art. 2. </w:t>
      </w:r>
      <w:r w:rsidRPr="00AF0C00">
        <w:rPr>
          <w:rFonts w:ascii="Times New Roman" w:eastAsia="Times New Roman" w:hAnsi="Times New Roman" w:cs="Times New Roman"/>
          <w:lang w:val="pl-PL"/>
        </w:rPr>
        <w:t>Ustawa wchodzi w życie z dniem 1 stycznia 2025 r.</w:t>
      </w:r>
    </w:p>
    <w:p w14:paraId="0000001A" w14:textId="77777777" w:rsidR="00104832" w:rsidRPr="00AF0C00" w:rsidRDefault="00000000">
      <w:pPr>
        <w:jc w:val="both"/>
        <w:rPr>
          <w:rFonts w:ascii="Times New Roman" w:eastAsia="Times New Roman" w:hAnsi="Times New Roman" w:cs="Times New Roman"/>
          <w:b/>
          <w:lang w:val="pl-PL"/>
        </w:rPr>
      </w:pPr>
      <w:r w:rsidRPr="00AF0C00">
        <w:rPr>
          <w:lang w:val="pl-PL"/>
        </w:rPr>
        <w:br w:type="page"/>
      </w:r>
    </w:p>
    <w:p w14:paraId="0000001B" w14:textId="77777777" w:rsidR="00104832" w:rsidRPr="00AF0C00" w:rsidRDefault="00000000">
      <w:pPr>
        <w:jc w:val="center"/>
        <w:rPr>
          <w:rFonts w:ascii="Times New Roman" w:eastAsia="Times New Roman" w:hAnsi="Times New Roman" w:cs="Times New Roman"/>
          <w:b/>
          <w:lang w:val="pl-PL"/>
        </w:rPr>
      </w:pPr>
      <w:r w:rsidRPr="00AF0C00">
        <w:rPr>
          <w:rFonts w:ascii="Times New Roman" w:eastAsia="Times New Roman" w:hAnsi="Times New Roman" w:cs="Times New Roman"/>
          <w:b/>
          <w:lang w:val="pl-PL"/>
        </w:rPr>
        <w:lastRenderedPageBreak/>
        <w:t>UZASADNIENIE</w:t>
      </w:r>
    </w:p>
    <w:p w14:paraId="0000001C" w14:textId="77777777" w:rsidR="00104832" w:rsidRPr="00AF0C00" w:rsidRDefault="00104832">
      <w:pPr>
        <w:jc w:val="center"/>
        <w:rPr>
          <w:rFonts w:ascii="Times New Roman" w:eastAsia="Times New Roman" w:hAnsi="Times New Roman" w:cs="Times New Roman"/>
          <w:b/>
          <w:lang w:val="pl-PL"/>
        </w:rPr>
      </w:pPr>
    </w:p>
    <w:p w14:paraId="0000001D" w14:textId="77777777" w:rsidR="00104832" w:rsidRPr="00AF0C00" w:rsidRDefault="00000000">
      <w:pPr>
        <w:jc w:val="both"/>
        <w:rPr>
          <w:rFonts w:ascii="Times New Roman" w:eastAsia="Times New Roman" w:hAnsi="Times New Roman" w:cs="Times New Roman"/>
          <w:lang w:val="pl-PL"/>
        </w:rPr>
      </w:pPr>
      <w:r w:rsidRPr="00AF0C00">
        <w:rPr>
          <w:rFonts w:ascii="Times New Roman" w:eastAsia="Times New Roman" w:hAnsi="Times New Roman" w:cs="Times New Roman"/>
          <w:lang w:val="pl-PL"/>
        </w:rPr>
        <w:t xml:space="preserve">Projekt ustawy ma na celu zmianę ustawy z dnia 6 września 2000 r. o podatku od czynności cywilnoprawnych (Dz. U. z 2024 r. poz. 295), zwanej dalej „ustawą o PCC”, w celu wprowadzenia dodatkowych stawek podatku w przypadku sprzedaży lokali mieszkalnych w krótkim okresie czasu od jego zakupu. Projekt ma na celu opodatkowanie tzw. flipowania mieszkań, czyli zjawiska polegającego na zakupie mieszkań w niskiej cenie, a następnie szybkiej ich odsprzedaży z zyskiem. Jednocześnie, celem ustawy nie jest pozyskanie dodatkowych środków do budżetu, lecz wprowadzenia dodatkowych stawek ma po prostu zniechęcić do spekulacyjnego obrotu nieruchomościami. </w:t>
      </w:r>
    </w:p>
    <w:p w14:paraId="0000001E" w14:textId="77777777" w:rsidR="00104832" w:rsidRPr="00AF0C00" w:rsidRDefault="00000000">
      <w:pPr>
        <w:jc w:val="both"/>
        <w:rPr>
          <w:rFonts w:ascii="Times New Roman" w:eastAsia="Times New Roman" w:hAnsi="Times New Roman" w:cs="Times New Roman"/>
          <w:lang w:val="pl-PL"/>
        </w:rPr>
      </w:pPr>
      <w:r w:rsidRPr="00AF0C00">
        <w:rPr>
          <w:rFonts w:ascii="Times New Roman" w:eastAsia="Times New Roman" w:hAnsi="Times New Roman" w:cs="Times New Roman"/>
          <w:lang w:val="pl-PL"/>
        </w:rPr>
        <w:t xml:space="preserve">Według ostrożnych szacunków w Polsce w 2024 r. brakuje około 1 miliona lokali mieszkalnych. Część ekspertów szacuje, że deficyt mieszkaniowy wynosi nawet dwa razy tyle. Eksperci podkreślają, że rynek nieruchomości znalazł się w punkcie historycznej nierównowagi między podażą a popytem. Mieszkań w ofercie jest mało, sprzedają się szybko, ceny rosną. </w:t>
      </w:r>
    </w:p>
    <w:p w14:paraId="0000001F" w14:textId="77777777" w:rsidR="00104832" w:rsidRPr="00AF0C00" w:rsidRDefault="00104832">
      <w:pPr>
        <w:jc w:val="both"/>
        <w:rPr>
          <w:rFonts w:ascii="Times New Roman" w:eastAsia="Times New Roman" w:hAnsi="Times New Roman" w:cs="Times New Roman"/>
          <w:lang w:val="pl-PL"/>
        </w:rPr>
      </w:pPr>
    </w:p>
    <w:p w14:paraId="00000020" w14:textId="77777777" w:rsidR="00104832" w:rsidRPr="00AF0C00" w:rsidRDefault="00000000">
      <w:pPr>
        <w:jc w:val="both"/>
        <w:rPr>
          <w:rFonts w:ascii="Times New Roman" w:eastAsia="Times New Roman" w:hAnsi="Times New Roman" w:cs="Times New Roman"/>
          <w:lang w:val="pl-PL"/>
        </w:rPr>
      </w:pPr>
      <w:r w:rsidRPr="00AF0C00">
        <w:rPr>
          <w:rFonts w:ascii="Times New Roman" w:eastAsia="Times New Roman" w:hAnsi="Times New Roman" w:cs="Times New Roman"/>
          <w:lang w:val="pl-PL"/>
        </w:rPr>
        <w:t xml:space="preserve">Średnie ceny ofertowe nowych mieszkań w Warszawie i Trójmieście od IV kwartału 2022 r. do IV kwartału 2023 r. wzrosły o 21,4 proc., w Poznaniu — o 17,9 proc., a w Krakowie, Łodzi i Wrocławiu – o 15,7–14 proc. </w:t>
      </w:r>
    </w:p>
    <w:p w14:paraId="00000021" w14:textId="77777777" w:rsidR="00104832" w:rsidRPr="00AF0C00" w:rsidRDefault="00104832">
      <w:pPr>
        <w:jc w:val="both"/>
        <w:rPr>
          <w:rFonts w:ascii="Times New Roman" w:eastAsia="Times New Roman" w:hAnsi="Times New Roman" w:cs="Times New Roman"/>
          <w:lang w:val="pl-PL"/>
        </w:rPr>
      </w:pPr>
    </w:p>
    <w:p w14:paraId="00000022" w14:textId="77777777" w:rsidR="00104832" w:rsidRPr="00AF0C00" w:rsidRDefault="00000000">
      <w:pPr>
        <w:jc w:val="both"/>
        <w:rPr>
          <w:rFonts w:ascii="Times New Roman" w:eastAsia="Times New Roman" w:hAnsi="Times New Roman" w:cs="Times New Roman"/>
          <w:lang w:val="pl-PL"/>
        </w:rPr>
      </w:pPr>
      <w:r w:rsidRPr="00AF0C00">
        <w:rPr>
          <w:rFonts w:ascii="Times New Roman" w:eastAsia="Times New Roman" w:hAnsi="Times New Roman" w:cs="Times New Roman"/>
          <w:lang w:val="pl-PL"/>
        </w:rPr>
        <w:t>Na wzrost cen mieszkań wpływ miała inflacja, ceny materiałów budowlanych, ale także rekordowe marże deweloperów i flipperów. Średnia marża brutto firm deweloperskich notowanych na giełdzie wyniosła w 2023 r. (dane za III kwartał) 31,6 proc., podczas gdy marża netto — 13,9 proc. I tę wartość trzeba utożsamiać z zyskiem dewelopera osiąganym z nieruchomości, której budowa trwa średnio pięć lat. Dla porównania, według szacunków ekonomistów, flipper w ciągu sześciu miesięcy osiąga 15 proc. zysku.</w:t>
      </w:r>
    </w:p>
    <w:p w14:paraId="00000023" w14:textId="77777777" w:rsidR="00104832" w:rsidRPr="00AF0C00" w:rsidRDefault="00104832">
      <w:pPr>
        <w:jc w:val="both"/>
        <w:rPr>
          <w:rFonts w:ascii="Times New Roman" w:eastAsia="Times New Roman" w:hAnsi="Times New Roman" w:cs="Times New Roman"/>
          <w:lang w:val="pl-PL"/>
        </w:rPr>
      </w:pPr>
    </w:p>
    <w:p w14:paraId="00000024" w14:textId="77777777" w:rsidR="00104832" w:rsidRPr="00AF0C00" w:rsidRDefault="00000000">
      <w:pPr>
        <w:jc w:val="both"/>
        <w:rPr>
          <w:rFonts w:ascii="Times New Roman" w:eastAsia="Times New Roman" w:hAnsi="Times New Roman" w:cs="Times New Roman"/>
          <w:lang w:val="pl-PL"/>
        </w:rPr>
      </w:pPr>
      <w:r w:rsidRPr="00AF0C00">
        <w:rPr>
          <w:rFonts w:ascii="Times New Roman" w:eastAsia="Times New Roman" w:hAnsi="Times New Roman" w:cs="Times New Roman"/>
          <w:lang w:val="pl-PL"/>
        </w:rPr>
        <w:t>Na skokowy wzrost cen nieruchomości w Polsce zwracał w wypowiedziach publicznych nawet prezes największego dewelopera w Polsce, Jarosław Szanajca, który podczas konferencji dotyczącej wyników spółki za III kwartał 2023 r. przyznał, że wzrost cen, z którym w Polsce mieliśmy do czynienia na przestrzeni 2023 r. to wzrost zbyt wysoki jak na stabilny rynek. Ocenił, że wzrost powinien być stabilny i dość powolny, bo wtedy łatwiej się planuje swoją przyszłość na rynku.</w:t>
      </w:r>
    </w:p>
    <w:p w14:paraId="00000025" w14:textId="77777777" w:rsidR="00104832" w:rsidRPr="00AF0C00" w:rsidRDefault="00104832">
      <w:pPr>
        <w:jc w:val="both"/>
        <w:rPr>
          <w:rFonts w:ascii="Times New Roman" w:eastAsia="Times New Roman" w:hAnsi="Times New Roman" w:cs="Times New Roman"/>
          <w:lang w:val="pl-PL"/>
        </w:rPr>
      </w:pPr>
    </w:p>
    <w:p w14:paraId="00000026" w14:textId="77777777" w:rsidR="00104832" w:rsidRPr="00AF0C00" w:rsidRDefault="00000000">
      <w:pPr>
        <w:jc w:val="both"/>
        <w:rPr>
          <w:rFonts w:ascii="Times New Roman" w:eastAsia="Times New Roman" w:hAnsi="Times New Roman" w:cs="Times New Roman"/>
          <w:lang w:val="pl-PL"/>
        </w:rPr>
      </w:pPr>
      <w:r w:rsidRPr="00AF0C00">
        <w:rPr>
          <w:rFonts w:ascii="Times New Roman" w:eastAsia="Times New Roman" w:hAnsi="Times New Roman" w:cs="Times New Roman"/>
          <w:lang w:val="pl-PL"/>
        </w:rPr>
        <w:t xml:space="preserve">Na tych rekordowych wzrostach korzystają m.in. flipperzy, którzy korzystając ze spekulacyjnych metod niemal wyczyścili rynek nieruchomości w Polsce, szczególnie w dużych miastach. Działalność flipperów przyczyniła się do tego, że aktualnie w dużych polskich miastach osoby chcące faktycznie zaspokoić swoje potrzeby mieszkaniowe na rynku wtórnym </w:t>
      </w:r>
      <w:r w:rsidRPr="00AF0C00">
        <w:rPr>
          <w:rFonts w:ascii="Times New Roman" w:eastAsia="Times New Roman" w:hAnsi="Times New Roman" w:cs="Times New Roman"/>
          <w:i/>
          <w:lang w:val="pl-PL"/>
        </w:rPr>
        <w:t xml:space="preserve">de facto </w:t>
      </w:r>
      <w:r w:rsidRPr="00AF0C00">
        <w:rPr>
          <w:rFonts w:ascii="Times New Roman" w:eastAsia="Times New Roman" w:hAnsi="Times New Roman" w:cs="Times New Roman"/>
          <w:lang w:val="pl-PL"/>
        </w:rPr>
        <w:t xml:space="preserve">mają bardzo utrudnione możliwości z uwagi na to, że z perspektywy sprzedających korzystniej jest zawrzeć transakcję z flipperem - osobą najczęściej dysponującą gotówką oraz dążącą do jak najszybszego sfinalizowania zakupu. Poza tym należy podkreślić, że samo zjawisko spekulacji na rynku mieszkaniowym przyczynia się do wzrostu cen nieruchomości - flipperzy nie tylko korzystają na wzrostach cen, ale również sami te wzrosty intensyfikują. Flipperzy przyczyniają się do finansjalizacji rynku mieszkaniowego w Polsce, który w coraz większym stopniu nabiera cech rynku produktów inwestycyjnych / spekulacyjnych a nie rynku, na którym osoby fizyczne mogą zaspokoić swoje potrzeby mieszkaniowe. Różne analizy pokazują, że udział mieszkań kupowanych inwestycyjnie, a nie </w:t>
      </w:r>
      <w:r w:rsidRPr="00AF0C00">
        <w:rPr>
          <w:rFonts w:ascii="Times New Roman" w:eastAsia="Times New Roman" w:hAnsi="Times New Roman" w:cs="Times New Roman"/>
          <w:i/>
          <w:lang w:val="pl-PL"/>
        </w:rPr>
        <w:t xml:space="preserve">stricte </w:t>
      </w:r>
      <w:r w:rsidRPr="00AF0C00">
        <w:rPr>
          <w:rFonts w:ascii="Times New Roman" w:eastAsia="Times New Roman" w:hAnsi="Times New Roman" w:cs="Times New Roman"/>
          <w:lang w:val="pl-PL"/>
        </w:rPr>
        <w:t>w celu zaspokajania potrzeb mieszkaniowych nabywającego przekracza 50% budowanych mieszkań.</w:t>
      </w:r>
    </w:p>
    <w:p w14:paraId="00000027" w14:textId="77777777" w:rsidR="00104832" w:rsidRPr="00AF0C00" w:rsidRDefault="00000000">
      <w:pPr>
        <w:jc w:val="both"/>
        <w:rPr>
          <w:rFonts w:ascii="Times New Roman" w:eastAsia="Times New Roman" w:hAnsi="Times New Roman" w:cs="Times New Roman"/>
          <w:lang w:val="pl-PL"/>
        </w:rPr>
      </w:pPr>
      <w:r w:rsidRPr="00AF0C00">
        <w:rPr>
          <w:rFonts w:ascii="Times New Roman" w:eastAsia="Times New Roman" w:hAnsi="Times New Roman" w:cs="Times New Roman"/>
          <w:lang w:val="pl-PL"/>
        </w:rPr>
        <w:t xml:space="preserve">Mimo ogromnych zysków płynących z flipowania nieruchomości oraz znaczącego wpływu tego zjawiska na wzrost cen mieszkań na rynku, w aktualnym stanie prawnym transakcje flipperskie opodatkowane są niskimi stawkami podatku od czynności cywilnoprawnych, zwanego dalej „PCC”. </w:t>
      </w:r>
    </w:p>
    <w:p w14:paraId="00000028" w14:textId="77777777" w:rsidR="00104832" w:rsidRPr="00AF0C00" w:rsidRDefault="00104832">
      <w:pPr>
        <w:jc w:val="both"/>
        <w:rPr>
          <w:rFonts w:ascii="Times New Roman" w:eastAsia="Times New Roman" w:hAnsi="Times New Roman" w:cs="Times New Roman"/>
          <w:lang w:val="pl-PL"/>
        </w:rPr>
      </w:pPr>
    </w:p>
    <w:p w14:paraId="00000029" w14:textId="77777777" w:rsidR="00104832" w:rsidRPr="00AF0C00" w:rsidRDefault="00000000">
      <w:pPr>
        <w:jc w:val="both"/>
        <w:rPr>
          <w:rFonts w:ascii="Times New Roman" w:eastAsia="Times New Roman" w:hAnsi="Times New Roman" w:cs="Times New Roman"/>
          <w:lang w:val="pl-PL"/>
        </w:rPr>
      </w:pPr>
      <w:r w:rsidRPr="00AF0C00">
        <w:rPr>
          <w:rFonts w:ascii="Times New Roman" w:eastAsia="Times New Roman" w:hAnsi="Times New Roman" w:cs="Times New Roman"/>
          <w:lang w:val="pl-PL"/>
        </w:rPr>
        <w:lastRenderedPageBreak/>
        <w:t>Zgodnie z art. 4 ust. 1 ustawy o PCC obowiązek podatkowy przy umowie sprzedaży, w tym sprzedaży nieruchomości, ciąży na kupującym. Podstawowa stawka PCC w przypadku zbycia nieruchomości wynosi 2% (art. 7 ust. 1 pkt 1 lit. a ustawy o PCC). Powyższe przepisy przekładają się na stan prawny, zgodnie z którym stawka PCC nie jest różnicowana w zależności od tego czy mieszkanie było wcześniej zakupione przez flippera i jest sprzedawane po krótkim czasie z dużym zyskiem.</w:t>
      </w:r>
    </w:p>
    <w:p w14:paraId="0000002A" w14:textId="77777777" w:rsidR="00104832" w:rsidRPr="00AF0C00" w:rsidRDefault="00104832">
      <w:pPr>
        <w:jc w:val="both"/>
        <w:rPr>
          <w:rFonts w:ascii="Times New Roman" w:eastAsia="Times New Roman" w:hAnsi="Times New Roman" w:cs="Times New Roman"/>
          <w:lang w:val="pl-PL"/>
        </w:rPr>
      </w:pPr>
    </w:p>
    <w:p w14:paraId="0000002B" w14:textId="77777777" w:rsidR="00104832" w:rsidRPr="00AF0C00" w:rsidRDefault="00000000">
      <w:pPr>
        <w:jc w:val="both"/>
        <w:rPr>
          <w:rFonts w:ascii="Times New Roman" w:eastAsia="Times New Roman" w:hAnsi="Times New Roman" w:cs="Times New Roman"/>
          <w:lang w:val="pl-PL"/>
        </w:rPr>
      </w:pPr>
      <w:r w:rsidRPr="00AF0C00">
        <w:rPr>
          <w:rFonts w:ascii="Times New Roman" w:eastAsia="Times New Roman" w:hAnsi="Times New Roman" w:cs="Times New Roman"/>
          <w:lang w:val="pl-PL"/>
        </w:rPr>
        <w:t>Z tego też powodu w projektowanej ustawie proponuje się, aby w art. 7 ust. 1 pkt 1 dodać lit. c, zgodnie z którą wprowadzone zostaną trzy nowe stawki PCC dotyczące umowy sprzedaży nieruchomości stanowiących lokale mieszkalne:</w:t>
      </w:r>
    </w:p>
    <w:p w14:paraId="0000002C" w14:textId="77777777" w:rsidR="00104832" w:rsidRPr="00AF0C00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pl-PL"/>
        </w:rPr>
      </w:pPr>
      <w:r w:rsidRPr="00AF0C00">
        <w:rPr>
          <w:rFonts w:ascii="Times New Roman" w:eastAsia="Times New Roman" w:hAnsi="Times New Roman" w:cs="Times New Roman"/>
          <w:lang w:val="pl-PL"/>
        </w:rPr>
        <w:t>10% - w przypadku sprzedaży lokalu mieszkalnego przed upływem roku od jego zakupu,</w:t>
      </w:r>
    </w:p>
    <w:p w14:paraId="0000002D" w14:textId="77777777" w:rsidR="00104832" w:rsidRPr="00AF0C00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pl-PL"/>
        </w:rPr>
      </w:pPr>
      <w:r w:rsidRPr="00AF0C00">
        <w:rPr>
          <w:rFonts w:ascii="Times New Roman" w:eastAsia="Times New Roman" w:hAnsi="Times New Roman" w:cs="Times New Roman"/>
          <w:lang w:val="pl-PL"/>
        </w:rPr>
        <w:t>6% - w przypadku sprzedaży lokalu mieszkalnego w okresie od roku, jednak przed upływem dwóch lat od jego zakupu,</w:t>
      </w:r>
    </w:p>
    <w:p w14:paraId="0000002E" w14:textId="77777777" w:rsidR="00104832" w:rsidRPr="00AF0C00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pl-PL"/>
        </w:rPr>
      </w:pPr>
      <w:r w:rsidRPr="00AF0C00">
        <w:rPr>
          <w:rFonts w:ascii="Times New Roman" w:eastAsia="Times New Roman" w:hAnsi="Times New Roman" w:cs="Times New Roman"/>
          <w:lang w:val="pl-PL"/>
        </w:rPr>
        <w:t>4% - w przypadku sprzedaży lokalu mieszkalnego w okresie od dwóch lat, jednak przed upływem trzech lat od jego zakupu.</w:t>
      </w:r>
    </w:p>
    <w:p w14:paraId="0000002F" w14:textId="77777777" w:rsidR="00104832" w:rsidRPr="00AF0C00" w:rsidRDefault="00104832">
      <w:pPr>
        <w:jc w:val="both"/>
        <w:rPr>
          <w:rFonts w:ascii="Times New Roman" w:eastAsia="Times New Roman" w:hAnsi="Times New Roman" w:cs="Times New Roman"/>
          <w:lang w:val="pl-PL"/>
        </w:rPr>
      </w:pPr>
    </w:p>
    <w:p w14:paraId="00000030" w14:textId="77777777" w:rsidR="00104832" w:rsidRPr="00AF0C00" w:rsidRDefault="00000000">
      <w:pPr>
        <w:jc w:val="both"/>
        <w:rPr>
          <w:rFonts w:ascii="Times New Roman" w:eastAsia="Times New Roman" w:hAnsi="Times New Roman" w:cs="Times New Roman"/>
          <w:lang w:val="pl-PL"/>
        </w:rPr>
      </w:pPr>
      <w:r w:rsidRPr="00AF0C00">
        <w:rPr>
          <w:rFonts w:ascii="Times New Roman" w:eastAsia="Times New Roman" w:hAnsi="Times New Roman" w:cs="Times New Roman"/>
          <w:lang w:val="pl-PL"/>
        </w:rPr>
        <w:t xml:space="preserve">Powyższe rozwiązanie ma na celu takie zwiększenie PCC, aby lokale mieszkalne, które stanowią przedmiot transakcji flipperskich były dodatkowo opodatkowane po ich zakupie. W ocenie projektodawców konieczność zapłaty przez kupującego mieszkanie od flipera dodatkowego podatku może mieć dwojaki wpływ na działalność flipperską - albo dodatkowy podatek zostanie wliczony do ceny mieszkania, co spowoduje jego natychmiastowe powiększenie o dodatkowe 10, 6 lub 4%, co z kolei przełoży się na de facto niesprzedawalność większości lokali poddanych flipom (w takim przypadku na rynku ofert zauważalny będzie podział ofert na takie ze zwykłym PCC na poziomie 2% oraz oferty flipperów ze znacznie wyższym obciążeniem podatkowym - co oczywiście będzie działało na korzyść tych pierwszych), albo flipperzy dodatkowy podatek wliczą do kosztów swojej działalności, drastycznie znacząco obniżając jej rentowność, a zwiększając ryzyko. W ocenie projektodawców w obu przypadkach efekt będzie ten sam, tzn. flipowanie mieszkań przestanie być opłacalną formą działalności. Należy podkreślić, że cel proponowanego rozwiązanie nie jest </w:t>
      </w:r>
      <w:r w:rsidRPr="00AF0C00">
        <w:rPr>
          <w:rFonts w:ascii="Times New Roman" w:eastAsia="Times New Roman" w:hAnsi="Times New Roman" w:cs="Times New Roman"/>
          <w:i/>
          <w:lang w:val="pl-PL"/>
        </w:rPr>
        <w:t xml:space="preserve">stricte </w:t>
      </w:r>
      <w:r w:rsidRPr="00AF0C00">
        <w:rPr>
          <w:rFonts w:ascii="Times New Roman" w:eastAsia="Times New Roman" w:hAnsi="Times New Roman" w:cs="Times New Roman"/>
          <w:lang w:val="pl-PL"/>
        </w:rPr>
        <w:t>fiskalny, tj. nie ma służyć pozyskaniu dodatkowych środków do budżetu, lecz uniemożliwić spekulację na rynku mieszkaniowym.</w:t>
      </w:r>
    </w:p>
    <w:p w14:paraId="00000031" w14:textId="77777777" w:rsidR="00104832" w:rsidRPr="00AF0C00" w:rsidRDefault="00104832">
      <w:pPr>
        <w:jc w:val="both"/>
        <w:rPr>
          <w:rFonts w:ascii="Times New Roman" w:eastAsia="Times New Roman" w:hAnsi="Times New Roman" w:cs="Times New Roman"/>
          <w:lang w:val="pl-PL"/>
        </w:rPr>
      </w:pPr>
    </w:p>
    <w:p w14:paraId="00000032" w14:textId="77777777" w:rsidR="00104832" w:rsidRPr="00AF0C00" w:rsidRDefault="00000000">
      <w:pPr>
        <w:jc w:val="both"/>
        <w:rPr>
          <w:rFonts w:ascii="Times New Roman" w:eastAsia="Times New Roman" w:hAnsi="Times New Roman" w:cs="Times New Roman"/>
          <w:lang w:val="pl-PL"/>
        </w:rPr>
      </w:pPr>
      <w:r w:rsidRPr="00AF0C00">
        <w:rPr>
          <w:rFonts w:ascii="Times New Roman" w:eastAsia="Times New Roman" w:hAnsi="Times New Roman" w:cs="Times New Roman"/>
          <w:lang w:val="pl-PL"/>
        </w:rPr>
        <w:t>Aby uniknąć ryzyka, że kupujący nieruchomość nie ma świadomości, że nabywa ją od flippera i ma zastosowanie dużo wyższa niż standardowa stawka podatku od czynności cywilnoprawnej proponuje się wprowadzić obowiązek notariusza pouczenia o tym fakcie kupującego przed zawarciem umowy i odebrania od niego stosownego oświadczenia o świadomości tej sytuacji, że będzie musiał zapłacić wyższą stawkę podatku.</w:t>
      </w:r>
    </w:p>
    <w:p w14:paraId="00000033" w14:textId="77777777" w:rsidR="00104832" w:rsidRPr="00AF0C00" w:rsidRDefault="00104832">
      <w:pPr>
        <w:jc w:val="both"/>
        <w:rPr>
          <w:rFonts w:ascii="Times New Roman" w:eastAsia="Times New Roman" w:hAnsi="Times New Roman" w:cs="Times New Roman"/>
          <w:lang w:val="pl-PL"/>
        </w:rPr>
      </w:pPr>
    </w:p>
    <w:p w14:paraId="00000034" w14:textId="77777777" w:rsidR="00104832" w:rsidRPr="00AF0C00" w:rsidRDefault="00000000">
      <w:pPr>
        <w:jc w:val="both"/>
        <w:rPr>
          <w:rFonts w:ascii="Times New Roman" w:eastAsia="Times New Roman" w:hAnsi="Times New Roman" w:cs="Times New Roman"/>
          <w:lang w:val="pl-PL"/>
        </w:rPr>
      </w:pPr>
      <w:r w:rsidRPr="00AF0C00">
        <w:rPr>
          <w:rFonts w:ascii="Times New Roman" w:eastAsia="Times New Roman" w:hAnsi="Times New Roman" w:cs="Times New Roman"/>
          <w:lang w:val="pl-PL"/>
        </w:rPr>
        <w:t>Ponadto w projektowanej ustawie proponuje się dodatkowe rozwiązanie nakładające wyższy podatek na samych fliperów, w momencie zakupu przez nich trzeciego i kolejnego mieszkania w cyklu 5 letnim. Aby to osiągnąć proponuje się dodanie w ustawie PCC nowego art. 7b, zgodnie z którym w przypadku gdy kupujący w okresie pięciu lat liczonych od końca roku, w którym kupił pierwszy lokal mieszkalny, kupuje:</w:t>
      </w:r>
    </w:p>
    <w:p w14:paraId="00000035" w14:textId="77777777" w:rsidR="00104832" w:rsidRPr="00AF0C00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val="pl-PL"/>
        </w:rPr>
      </w:pPr>
      <w:r w:rsidRPr="00AF0C00">
        <w:rPr>
          <w:rFonts w:ascii="Times New Roman" w:eastAsia="Times New Roman" w:hAnsi="Times New Roman" w:cs="Times New Roman"/>
          <w:lang w:val="pl-PL"/>
        </w:rPr>
        <w:t xml:space="preserve">trzecie mieszkanie, umowa objęta była stawką PCC 3%, </w:t>
      </w:r>
    </w:p>
    <w:p w14:paraId="00000036" w14:textId="77777777" w:rsidR="00104832" w:rsidRPr="00AF0C00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val="pl-PL"/>
        </w:rPr>
      </w:pPr>
      <w:r w:rsidRPr="00AF0C00">
        <w:rPr>
          <w:rFonts w:ascii="Times New Roman" w:eastAsia="Times New Roman" w:hAnsi="Times New Roman" w:cs="Times New Roman"/>
          <w:lang w:val="pl-PL"/>
        </w:rPr>
        <w:t>czwarte mieszkanie, umowa objęta była stawką PCC 4%,</w:t>
      </w:r>
    </w:p>
    <w:p w14:paraId="00000037" w14:textId="77777777" w:rsidR="00104832" w:rsidRPr="00AF0C00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val="pl-PL"/>
        </w:rPr>
      </w:pPr>
      <w:r w:rsidRPr="00AF0C00">
        <w:rPr>
          <w:rFonts w:ascii="Times New Roman" w:eastAsia="Times New Roman" w:hAnsi="Times New Roman" w:cs="Times New Roman"/>
          <w:lang w:val="pl-PL"/>
        </w:rPr>
        <w:t>piąte i kolejne mieszkanie, umowy objęte były stawką PCC 5%.</w:t>
      </w:r>
    </w:p>
    <w:p w14:paraId="00000038" w14:textId="77777777" w:rsidR="00104832" w:rsidRPr="00AF0C00" w:rsidRDefault="00104832">
      <w:pPr>
        <w:jc w:val="both"/>
        <w:rPr>
          <w:rFonts w:ascii="Times New Roman" w:eastAsia="Times New Roman" w:hAnsi="Times New Roman" w:cs="Times New Roman"/>
          <w:lang w:val="pl-PL"/>
        </w:rPr>
      </w:pPr>
    </w:p>
    <w:p w14:paraId="00000039" w14:textId="77777777" w:rsidR="00104832" w:rsidRPr="00AF0C00" w:rsidRDefault="00000000">
      <w:pPr>
        <w:jc w:val="both"/>
        <w:rPr>
          <w:rFonts w:ascii="Times New Roman" w:eastAsia="Times New Roman" w:hAnsi="Times New Roman" w:cs="Times New Roman"/>
          <w:lang w:val="pl-PL"/>
        </w:rPr>
      </w:pPr>
      <w:r w:rsidRPr="00AF0C00">
        <w:rPr>
          <w:rFonts w:ascii="Times New Roman" w:eastAsia="Times New Roman" w:hAnsi="Times New Roman" w:cs="Times New Roman"/>
          <w:lang w:val="pl-PL"/>
        </w:rPr>
        <w:t xml:space="preserve">Aby zapewnić, że poprzednie transakcje będą przez flipperów ujawniane, proponuje się aby każdorazowo w przypadku zawierania kolejnych umów zakupu lokali mieszkalnych kupujący składał </w:t>
      </w:r>
      <w:r w:rsidRPr="00AF0C00">
        <w:rPr>
          <w:rFonts w:ascii="Times New Roman" w:eastAsia="Times New Roman" w:hAnsi="Times New Roman" w:cs="Times New Roman"/>
          <w:lang w:val="pl-PL"/>
        </w:rPr>
        <w:lastRenderedPageBreak/>
        <w:t>przed notariuszem oświadczenie o liczbie zawartych umów w okresie pięciu lat liczonych przed daną umową, pod rygorem odpowiedzialności karnej za składanie fałszywych oświadczeń.</w:t>
      </w:r>
    </w:p>
    <w:p w14:paraId="0000003A" w14:textId="77777777" w:rsidR="00104832" w:rsidRPr="00AF0C00" w:rsidRDefault="00104832">
      <w:pPr>
        <w:jc w:val="both"/>
        <w:rPr>
          <w:rFonts w:ascii="Times New Roman" w:eastAsia="Times New Roman" w:hAnsi="Times New Roman" w:cs="Times New Roman"/>
          <w:lang w:val="pl-PL"/>
        </w:rPr>
      </w:pPr>
    </w:p>
    <w:p w14:paraId="0000003B" w14:textId="77777777" w:rsidR="00104832" w:rsidRPr="00AF0C00" w:rsidRDefault="00000000">
      <w:pPr>
        <w:jc w:val="both"/>
        <w:rPr>
          <w:rFonts w:ascii="Times New Roman" w:eastAsia="Times New Roman" w:hAnsi="Times New Roman" w:cs="Times New Roman"/>
          <w:lang w:val="pl-PL"/>
        </w:rPr>
      </w:pPr>
      <w:r w:rsidRPr="00AF0C00">
        <w:rPr>
          <w:rFonts w:ascii="Times New Roman" w:eastAsia="Times New Roman" w:hAnsi="Times New Roman" w:cs="Times New Roman"/>
          <w:lang w:val="pl-PL"/>
        </w:rPr>
        <w:t>Projektodawcy oceniają, że wprowadzenie obu powyższych rozwiązań pozwoli znacząco ograniczyć negatywne społecznie zjawisko flipowania mieszkań, czyniąc je nieopłacalnym. Korzyścią z wprowadzenia formuły podwyższonego PCC w okresie pierwszych trzech lat jest przede wszystkim to, że obciążenie jest przedmiotowe i dotyczy konkretnej nieruchomości będącej lokalem mieszkalnym zaś wszelkie zbycia odnotowywane są w księdze wieczystej. Wydaje się zatem, że właściwie nie ma możliwości ominięcia tego obciążenia przez flipperów, a data i obliczanie okresu podwyższonego PCC jest bardzo proste w oparciu o dane z księgi wieczystej. Zdaniem projektodawcy inna forma interwencji legislacyjnej niż zmiana ustawy nie jest możliwa, aby osiągnąć zakładane cele. Aktualnie obowiązujące rozwiązania prawne wprawdzie przewidują 19% podatek dochodowy od sprzedaży nieruchomośc w przypadku osób, które sprzedały mieszkanie lub dom przed upływem 5 lat (licząc od roku kalendarzowego) od jej nabycia. W praktyce jednak tego zobowiązania można łatwo uniknąć kupując z pozyskanych środków kolejną nieruchomość, co wręcz może częściowo napędzać flipperów do działania w trybie ciągłym. Przepisy wprawdzie wymagają aby nabycie było na realizację własnych celów mieszkaniowych, ale praktyka pokazuje, że rozwiązanie to jest nieskuteczne, a urzędy skarbowe nie są w stanie kontrolować transakcji w pożądanej skali. To również uzasadnia konieczność wprowadzenia rozwiązania, które w prosty i jednocześnie szczelny sposób zagwarantuje efekt w postaci braku opłacalności transakcji flipperskich.</w:t>
      </w:r>
    </w:p>
    <w:p w14:paraId="0000003C" w14:textId="77777777" w:rsidR="00104832" w:rsidRPr="00AF0C00" w:rsidRDefault="00104832">
      <w:pPr>
        <w:jc w:val="both"/>
        <w:rPr>
          <w:rFonts w:ascii="Times New Roman" w:eastAsia="Times New Roman" w:hAnsi="Times New Roman" w:cs="Times New Roman"/>
          <w:lang w:val="pl-PL"/>
        </w:rPr>
      </w:pPr>
    </w:p>
    <w:p w14:paraId="0000003D" w14:textId="77777777" w:rsidR="00104832" w:rsidRPr="00AF0C00" w:rsidRDefault="00000000">
      <w:pPr>
        <w:jc w:val="both"/>
        <w:rPr>
          <w:rFonts w:ascii="Times New Roman" w:eastAsia="Times New Roman" w:hAnsi="Times New Roman" w:cs="Times New Roman"/>
          <w:lang w:val="pl-PL"/>
        </w:rPr>
      </w:pPr>
      <w:r w:rsidRPr="00AF0C00">
        <w:rPr>
          <w:rFonts w:ascii="Times New Roman" w:eastAsia="Times New Roman" w:hAnsi="Times New Roman" w:cs="Times New Roman"/>
          <w:lang w:val="pl-PL"/>
        </w:rPr>
        <w:t xml:space="preserve">Proponuje się, aby ustawa weszła w życie z dniem 1 stycznia 2025 r. Powyższy termin pozwoli odbiorcom na zapoznanie się z nowymi przepisami i dostosowanie do nich. </w:t>
      </w:r>
    </w:p>
    <w:sectPr w:rsidR="00104832" w:rsidRPr="00AF0C0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9C3E7" w14:textId="77777777" w:rsidR="00587B74" w:rsidRDefault="00587B74" w:rsidP="00AF0C00">
      <w:pPr>
        <w:spacing w:line="240" w:lineRule="auto"/>
      </w:pPr>
      <w:r>
        <w:separator/>
      </w:r>
    </w:p>
  </w:endnote>
  <w:endnote w:type="continuationSeparator" w:id="0">
    <w:p w14:paraId="04A6BDA9" w14:textId="77777777" w:rsidR="00587B74" w:rsidRDefault="00587B74" w:rsidP="00AF0C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93B6E" w14:textId="77777777" w:rsidR="00587B74" w:rsidRDefault="00587B74" w:rsidP="00AF0C00">
      <w:pPr>
        <w:spacing w:line="240" w:lineRule="auto"/>
      </w:pPr>
      <w:r>
        <w:separator/>
      </w:r>
    </w:p>
  </w:footnote>
  <w:footnote w:type="continuationSeparator" w:id="0">
    <w:p w14:paraId="21D7EBC8" w14:textId="77777777" w:rsidR="00587B74" w:rsidRDefault="00587B74" w:rsidP="00AF0C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74B77"/>
    <w:multiLevelType w:val="multilevel"/>
    <w:tmpl w:val="B0A685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FF4E31"/>
    <w:multiLevelType w:val="multilevel"/>
    <w:tmpl w:val="F0B85304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2" w15:restartNumberingAfterBreak="0">
    <w:nsid w:val="43294855"/>
    <w:multiLevelType w:val="multilevel"/>
    <w:tmpl w:val="667E62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2E1CD4"/>
    <w:multiLevelType w:val="multilevel"/>
    <w:tmpl w:val="5B74F09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784E0B53"/>
    <w:multiLevelType w:val="multilevel"/>
    <w:tmpl w:val="4A284C8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‐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10853930">
    <w:abstractNumId w:val="2"/>
  </w:num>
  <w:num w:numId="2" w16cid:durableId="351499098">
    <w:abstractNumId w:val="4"/>
  </w:num>
  <w:num w:numId="3" w16cid:durableId="593173052">
    <w:abstractNumId w:val="1"/>
  </w:num>
  <w:num w:numId="4" w16cid:durableId="874656321">
    <w:abstractNumId w:val="3"/>
  </w:num>
  <w:num w:numId="5" w16cid:durableId="35469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832"/>
    <w:rsid w:val="00104832"/>
    <w:rsid w:val="004A4ACC"/>
    <w:rsid w:val="00587B74"/>
    <w:rsid w:val="006639E9"/>
    <w:rsid w:val="00852B29"/>
    <w:rsid w:val="00AF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F0C0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00"/>
  </w:style>
  <w:style w:type="paragraph" w:styleId="Stopka">
    <w:name w:val="footer"/>
    <w:basedOn w:val="Normalny"/>
    <w:link w:val="StopkaZnak"/>
    <w:uiPriority w:val="99"/>
    <w:unhideWhenUsed/>
    <w:rsid w:val="00AF0C0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1702</Words>
  <Characters>10217</Characters>
  <Application>Microsoft Office Word</Application>
  <DocSecurity>0</DocSecurity>
  <Lines>85</Lines>
  <Paragraphs>23</Paragraphs>
  <ScaleCrop>false</ScaleCrop>
  <Company/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2024-05-23T09:05:00Z</dcterms:created>
  <dcterms:modified xsi:type="dcterms:W3CDTF">2024-05-23T09:05:00Z</dcterms:modified>
</cp:coreProperties>
</file>